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rPr>
          <w:rtl w:val="0"/>
          <w:lang w:val="en-US"/>
        </w:rPr>
        <w:t>Rules SOS Club Championships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The following scoring system was devised by Andrew Cordle.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All members entering TD</w:t>
      </w:r>
      <w:r>
        <w:rPr>
          <w:rtl w:val="0"/>
          <w:lang w:val="en-US"/>
        </w:rPr>
        <w:t>5</w:t>
      </w:r>
      <w:r>
        <w:rPr>
          <w:rtl w:val="0"/>
          <w:lang w:val="en-US"/>
        </w:rPr>
        <w:t xml:space="preserve"> courses (</w:t>
      </w:r>
      <w:r>
        <w:rPr>
          <w:rtl w:val="0"/>
          <w:lang w:val="en-US"/>
        </w:rPr>
        <w:t xml:space="preserve">Very Short </w:t>
      </w:r>
      <w:r>
        <w:rPr>
          <w:rtl w:val="0"/>
          <w:lang w:val="en-US"/>
        </w:rPr>
        <w:t xml:space="preserve">Green and above) will be eligible. 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Members with dual club membership must either enter as SOS or email the scorer stating their wish to be included in the Championship scoring.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Running speed (RS) is calculated in min/km with course length corrected for climb (0.1km added for 10m climb).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Adjusted running speed (ARS) is calculated as percentage using speed factor (SF) table below.</w:t>
      </w:r>
    </w:p>
    <w:p>
      <w:pPr>
        <w:pStyle w:val="Body A"/>
      </w:pPr>
      <w:r>
        <w:rPr>
          <w:rtl w:val="0"/>
        </w:rPr>
        <w:tab/>
        <w:t xml:space="preserve">ARS = RS x SF </w:t>
      </w:r>
      <w:r>
        <w:rPr>
          <w:rtl w:val="0"/>
          <w:lang w:val="en-US"/>
        </w:rPr>
        <w:t xml:space="preserve">÷ </w:t>
      </w:r>
      <w:r>
        <w:rPr>
          <w:rtl w:val="0"/>
          <w:lang w:val="en-US"/>
        </w:rPr>
        <w:t>100</w:t>
      </w:r>
    </w:p>
    <w:p>
      <w:pPr>
        <w:pStyle w:val="Body A"/>
      </w:pPr>
    </w:p>
    <w:tbl>
      <w:tblPr>
        <w:tblW w:w="389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1154"/>
        <w:gridCol w:w="827"/>
        <w:gridCol w:w="1091"/>
        <w:gridCol w:w="823"/>
      </w:tblGrid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M10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W10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56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M12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81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W12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61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M14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86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W14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66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M16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90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W16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70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M18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93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W18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72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M20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97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W20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75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M21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100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W21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84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M35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97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W35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75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M40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93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W40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72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M45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90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W45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70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M50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86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W50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66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M55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81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W55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61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M60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W60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56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M65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67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W65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50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M70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60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W70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44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M75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53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W75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37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115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uppressAutoHyphens w:val="1"/>
              <w:outlineLvl w:val="0"/>
            </w:pPr>
            <w:r>
              <w:rPr>
                <w:rFonts w:ascii="Helvetica" w:hAnsi="Helvetica"/>
                <w:sz w:val="22"/>
                <w:szCs w:val="22"/>
                <w:shd w:val="nil" w:color="auto" w:fill="auto"/>
                <w:rtl w:val="0"/>
                <w:lang w:val="en-US"/>
              </w:rPr>
              <w:t>M80</w:t>
            </w:r>
          </w:p>
        </w:tc>
        <w:tc>
          <w:tcPr>
            <w:tcW w:type="dxa" w:w="82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uppressAutoHyphens w:val="1"/>
              <w:jc w:val="center"/>
              <w:outlineLvl w:val="0"/>
            </w:pPr>
            <w:r>
              <w:rPr>
                <w:rFonts w:ascii="Helvetica" w:hAnsi="Helvetica"/>
                <w:sz w:val="22"/>
                <w:szCs w:val="22"/>
                <w:shd w:val="nil" w:color="auto" w:fill="auto"/>
                <w:rtl w:val="0"/>
                <w:lang w:val="en-US"/>
              </w:rPr>
              <w:t>46</w:t>
            </w:r>
          </w:p>
        </w:tc>
        <w:tc>
          <w:tcPr>
            <w:tcW w:type="dxa" w:w="1091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uppressAutoHyphens w:val="1"/>
              <w:outlineLvl w:val="0"/>
            </w:pPr>
            <w:r>
              <w:rPr>
                <w:rFonts w:ascii="Helvetica" w:hAnsi="Helvetica"/>
                <w:sz w:val="22"/>
                <w:szCs w:val="22"/>
                <w:shd w:val="nil" w:color="auto" w:fill="auto"/>
                <w:rtl w:val="0"/>
                <w:lang w:val="en-US"/>
              </w:rPr>
              <w:t>W80</w:t>
            </w:r>
          </w:p>
        </w:tc>
        <w:tc>
          <w:tcPr>
            <w:tcW w:type="dxa" w:w="823"/>
            <w:tcBorders>
              <w:top w:val="single" w:color="aaaaaa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uppressAutoHyphens w:val="1"/>
              <w:jc w:val="center"/>
              <w:outlineLvl w:val="0"/>
            </w:pPr>
            <w:r>
              <w:rPr>
                <w:rFonts w:ascii="Helvetica" w:hAnsi="Helvetica"/>
                <w:sz w:val="22"/>
                <w:szCs w:val="22"/>
                <w:shd w:val="nil" w:color="auto" w:fill="auto"/>
                <w:rtl w:val="0"/>
                <w:lang w:val="en-US"/>
              </w:rPr>
              <w:t>30</w:t>
            </w:r>
          </w:p>
        </w:tc>
      </w:tr>
    </w:tbl>
    <w:p>
      <w:pPr>
        <w:pStyle w:val="Body A"/>
        <w:widowControl w:val="0"/>
        <w:ind w:left="108" w:hanging="108"/>
      </w:pP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Points are calculated relative to fastest adjusted running speed (FRS).  FRS </w:t>
      </w:r>
      <w:r>
        <w:rPr>
          <w:rtl w:val="0"/>
          <w:lang w:val="en-US"/>
        </w:rPr>
        <w:t xml:space="preserve">÷  </w:t>
      </w:r>
      <w:r>
        <w:rPr>
          <w:rtl w:val="0"/>
          <w:lang w:val="en-US"/>
        </w:rPr>
        <w:t xml:space="preserve">ARS x 100. i.e. the fastest running speed is awarded 100 points. </w:t>
      </w:r>
    </w:p>
    <w:p>
      <w:pPr>
        <w:pStyle w:val="Body A"/>
      </w:pPr>
      <w:r>
        <w:rPr>
          <w:rtl w:val="0"/>
          <w:lang w:val="en-US"/>
        </w:rPr>
        <w:t>The member scoring 100 points will be declared Club Champion</w:t>
      </w:r>
    </w:p>
    <w:p>
      <w:pPr>
        <w:pStyle w:val="Body A"/>
      </w:pPr>
    </w:p>
    <w:p>
      <w:pPr>
        <w:pStyle w:val="Body A"/>
        <w:suppressAutoHyphens w:val="1"/>
      </w:pPr>
      <w:r>
        <w:rPr>
          <w:rtl w:val="0"/>
          <w:lang w:val="en-US"/>
        </w:rPr>
        <w:t xml:space="preserve">The Junior Champion will be awarded using a similar system. </w:t>
      </w:r>
    </w:p>
    <w:p>
      <w:pPr>
        <w:pStyle w:val="Body A"/>
        <w:numPr>
          <w:ilvl w:val="0"/>
          <w:numId w:val="2"/>
        </w:numPr>
        <w:suppressAutoHyphens w:val="1"/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Only M/W1</w:t>
      </w:r>
      <w:r>
        <w:rPr>
          <w:rtl w:val="0"/>
          <w:lang w:val="en-US"/>
        </w:rPr>
        <w:t xml:space="preserve">6 </w:t>
      </w:r>
      <w:r>
        <w:rPr>
          <w:rtl w:val="0"/>
          <w:lang w:val="en-US"/>
        </w:rPr>
        <w:t xml:space="preserve">and under will be eligible. Older Juniors are eligible for the Open Championship. 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White, Yellow and Orange courses will also be included. 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The min/km for corrected course length will be calculated and the age class factor applied as above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A course factor is then applied to correct for technical difficulty</w:t>
      </w:r>
    </w:p>
    <w:p>
      <w:pPr>
        <w:pStyle w:val="Body A"/>
      </w:pPr>
    </w:p>
    <w:tbl>
      <w:tblPr>
        <w:tblW w:w="5128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943"/>
        <w:gridCol w:w="902"/>
        <w:gridCol w:w="975"/>
        <w:gridCol w:w="1225"/>
        <w:gridCol w:w="1083"/>
      </w:tblGrid>
      <w:tr>
        <w:tblPrEx>
          <w:shd w:val="clear" w:color="auto" w:fill="ceddeb"/>
        </w:tblPrEx>
        <w:trPr>
          <w:trHeight w:val="289" w:hRule="atLeast"/>
        </w:trPr>
        <w:tc>
          <w:tcPr>
            <w:tcW w:type="dxa" w:w="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White</w:t>
            </w:r>
          </w:p>
        </w:tc>
        <w:tc>
          <w:tcPr>
            <w:tcW w:type="dxa" w:w="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Yellow</w:t>
            </w:r>
          </w:p>
        </w:tc>
        <w:tc>
          <w:tcPr>
            <w:tcW w:type="dxa" w:w="9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shd w:val="nil" w:color="auto" w:fill="auto"/>
                <w:rtl w:val="0"/>
                <w:lang w:val="nl-NL"/>
              </w:rPr>
              <w:t>Orange</w:t>
            </w:r>
          </w:p>
        </w:tc>
        <w:tc>
          <w:tcPr>
            <w:tcW w:type="dxa" w:w="1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Light Green</w:t>
            </w:r>
          </w:p>
        </w:tc>
        <w:tc>
          <w:tcPr>
            <w:tcW w:type="dxa" w:w="10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rtl w:val="0"/>
              </w:rPr>
              <w:t>TD5</w:t>
            </w:r>
          </w:p>
        </w:tc>
      </w:tr>
      <w:tr>
        <w:tblPrEx>
          <w:shd w:val="clear" w:color="auto" w:fill="ceddeb"/>
        </w:tblPrEx>
        <w:trPr>
          <w:trHeight w:val="289" w:hRule="atLeast"/>
        </w:trPr>
        <w:tc>
          <w:tcPr>
            <w:tcW w:type="dxa" w:w="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shd w:val="nil" w:color="auto" w:fill="auto"/>
                <w:rtl w:val="0"/>
              </w:rPr>
              <w:t>1</w:t>
            </w:r>
          </w:p>
        </w:tc>
        <w:tc>
          <w:tcPr>
            <w:tcW w:type="dxa" w:w="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shd w:val="nil" w:color="auto" w:fill="auto"/>
                <w:rtl w:val="0"/>
              </w:rPr>
              <w:t>1.1</w:t>
            </w:r>
          </w:p>
        </w:tc>
        <w:tc>
          <w:tcPr>
            <w:tcW w:type="dxa" w:w="9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shd w:val="nil" w:color="auto" w:fill="auto"/>
                <w:rtl w:val="0"/>
              </w:rPr>
              <w:t>1.2</w:t>
            </w:r>
          </w:p>
        </w:tc>
        <w:tc>
          <w:tcPr>
            <w:tcW w:type="dxa" w:w="1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shd w:val="nil" w:color="auto" w:fill="auto"/>
                <w:rtl w:val="0"/>
              </w:rPr>
              <w:t>1.3</w:t>
            </w:r>
          </w:p>
        </w:tc>
        <w:tc>
          <w:tcPr>
            <w:tcW w:type="dxa" w:w="10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shd w:val="nil" w:color="auto" w:fill="auto"/>
                <w:rtl w:val="0"/>
              </w:rPr>
              <w:t>1.4</w:t>
            </w:r>
          </w:p>
        </w:tc>
      </w:tr>
    </w:tbl>
    <w:p>
      <w:pPr>
        <w:pStyle w:val="Body A"/>
        <w:widowControl w:val="0"/>
        <w:ind w:left="216" w:hanging="216"/>
      </w:pPr>
    </w:p>
    <w:p>
      <w:pPr>
        <w:pStyle w:val="Body A"/>
        <w:widowControl w:val="0"/>
        <w:ind w:left="108" w:hanging="108"/>
      </w:pPr>
      <w:r/>
    </w:p>
    <w:sectPr>
      <w:headerReference w:type="default" r:id="rId4"/>
      <w:footerReference w:type="default" r:id="rId5"/>
      <w:pgSz w:w="11900" w:h="16840" w:orient="portrait"/>
      <w:pgMar w:top="720" w:right="1134" w:bottom="72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ind w:left="3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8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9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61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